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191B4918" w14:textId="77777777" w:rsidTr="0041512A">
        <w:tc>
          <w:tcPr>
            <w:tcW w:w="2263" w:type="dxa"/>
          </w:tcPr>
          <w:p w14:paraId="78C0FE5A" w14:textId="79063C6D" w:rsidR="0041512A" w:rsidRDefault="00D57F18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 w:rsidR="005F3669">
              <w:rPr>
                <w:color w:val="auto"/>
                <w:u w:val="none"/>
              </w:rPr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1EEAAE98" w14:textId="77777777" w:rsidR="0041512A" w:rsidRDefault="008232B5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oggetti usati</w:t>
            </w:r>
          </w:p>
        </w:tc>
        <w:tc>
          <w:tcPr>
            <w:tcW w:w="1979" w:type="dxa"/>
          </w:tcPr>
          <w:p w14:paraId="2C38C646" w14:textId="6B0F69C1" w:rsidR="0041512A" w:rsidRPr="0041512A" w:rsidRDefault="004C4346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>
                <w:rPr>
                  <w:rStyle w:val="Collegamentoipertestuale"/>
                  <w:b/>
                </w:rPr>
                <w:t>Co</w:t>
              </w:r>
              <w:r>
                <w:rPr>
                  <w:rStyle w:val="Collegamentoipertestuale"/>
                  <w:b/>
                </w:rPr>
                <w:t>n</w:t>
              </w:r>
              <w:r>
                <w:rPr>
                  <w:rStyle w:val="Collegamentoipertestuale"/>
                  <w:b/>
                </w:rPr>
                <w:t>tatti</w:t>
              </w:r>
            </w:hyperlink>
          </w:p>
        </w:tc>
      </w:tr>
      <w:tr w:rsidR="00342D58" w14:paraId="0CE9E80F" w14:textId="77777777" w:rsidTr="0041512A">
        <w:tc>
          <w:tcPr>
            <w:tcW w:w="9629" w:type="dxa"/>
            <w:gridSpan w:val="3"/>
          </w:tcPr>
          <w:p w14:paraId="46CFD324" w14:textId="02EC62D2" w:rsidR="00F33A15" w:rsidRPr="00875459" w:rsidRDefault="00875459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875459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2DE3F97A" w14:textId="77777777" w:rsidR="006409C2" w:rsidRDefault="006409C2" w:rsidP="00875459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409C2">
              <w:rPr>
                <w:color w:val="000000"/>
                <w:sz w:val="20"/>
                <w:szCs w:val="20"/>
                <w:u w:val="none"/>
              </w:rPr>
              <w:t xml:space="preserve">L’articolo 6, del </w:t>
            </w:r>
            <w:proofErr w:type="spellStart"/>
            <w:r w:rsidRPr="006409C2">
              <w:rPr>
                <w:color w:val="000000"/>
                <w:sz w:val="20"/>
                <w:szCs w:val="20"/>
                <w:u w:val="none"/>
              </w:rPr>
              <w:t>DLgs</w:t>
            </w:r>
            <w:proofErr w:type="spellEnd"/>
            <w:r w:rsidRPr="006409C2">
              <w:rPr>
                <w:color w:val="000000"/>
                <w:sz w:val="20"/>
                <w:szCs w:val="20"/>
                <w:u w:val="none"/>
              </w:rPr>
              <w:t xml:space="preserve"> 222 del 25 novembre 2016, ha abrogato la necessità di presentare la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409C2">
              <w:rPr>
                <w:color w:val="000000"/>
                <w:sz w:val="20"/>
                <w:szCs w:val="20"/>
                <w:u w:val="none"/>
              </w:rPr>
              <w:t xml:space="preserve">dichiarazione preventiva al Sindaco per esercitare la vendita di oggetti usati; </w:t>
            </w:r>
            <w:r>
              <w:rPr>
                <w:color w:val="000000"/>
                <w:sz w:val="20"/>
                <w:szCs w:val="20"/>
                <w:u w:val="none"/>
              </w:rPr>
              <w:t xml:space="preserve">permane comunque </w:t>
            </w:r>
            <w:r w:rsidRPr="006409C2">
              <w:rPr>
                <w:color w:val="000000"/>
                <w:sz w:val="20"/>
                <w:szCs w:val="20"/>
                <w:u w:val="none"/>
              </w:rPr>
              <w:t>l’obbligo di tenere il registro vidimato dal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409C2">
              <w:rPr>
                <w:color w:val="000000"/>
                <w:sz w:val="20"/>
                <w:szCs w:val="20"/>
                <w:u w:val="none"/>
              </w:rPr>
              <w:t>comune per l’annotazione delle vendite. Ne consegue che, fatte salve le attività di cui ai punti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409C2">
              <w:rPr>
                <w:color w:val="000000"/>
                <w:sz w:val="20"/>
                <w:szCs w:val="20"/>
                <w:u w:val="none"/>
              </w:rPr>
              <w:t xml:space="preserve">successivi) la vendita di oggetti usati soggiace solo alla normativa afferente </w:t>
            </w:r>
            <w:proofErr w:type="gramStart"/>
            <w:r w:rsidRPr="006409C2">
              <w:rPr>
                <w:color w:val="000000"/>
                <w:sz w:val="20"/>
                <w:szCs w:val="20"/>
                <w:u w:val="none"/>
              </w:rPr>
              <w:t>l’esercizio</w:t>
            </w:r>
            <w:proofErr w:type="gramEnd"/>
            <w:r w:rsidRPr="006409C2">
              <w:rPr>
                <w:color w:val="000000"/>
                <w:sz w:val="20"/>
                <w:szCs w:val="20"/>
                <w:u w:val="none"/>
              </w:rPr>
              <w:t xml:space="preserve"> dell’attività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409C2">
              <w:rPr>
                <w:color w:val="000000"/>
                <w:sz w:val="20"/>
                <w:szCs w:val="20"/>
                <w:u w:val="none"/>
              </w:rPr>
              <w:t>commerciale di vendita al dettaglio (Vicinato, Media e Grande struttura di vendita, Forme speciali di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409C2">
              <w:rPr>
                <w:color w:val="000000"/>
                <w:sz w:val="20"/>
                <w:szCs w:val="20"/>
                <w:u w:val="none"/>
              </w:rPr>
              <w:t>vendita).</w:t>
            </w:r>
          </w:p>
          <w:p w14:paraId="1DE6784B" w14:textId="77777777" w:rsidR="007A0928" w:rsidRPr="00875459" w:rsidRDefault="007A0928" w:rsidP="007A092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u w:val="none"/>
              </w:rPr>
            </w:pPr>
          </w:p>
          <w:p w14:paraId="2DA186DA" w14:textId="77777777" w:rsidR="007A0928" w:rsidRPr="00875459" w:rsidRDefault="006409C2" w:rsidP="007A0928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b/>
                <w:bCs/>
                <w:color w:val="C10000"/>
                <w:u w:val="none"/>
              </w:rPr>
            </w:pPr>
            <w:r w:rsidRPr="00875459">
              <w:rPr>
                <w:b/>
                <w:bCs/>
                <w:color w:val="C10000"/>
                <w:u w:val="none"/>
              </w:rPr>
              <w:t xml:space="preserve">Vendita di preziosi antichi o usati </w:t>
            </w:r>
          </w:p>
          <w:p w14:paraId="28BF161D" w14:textId="77777777" w:rsidR="007A0928" w:rsidRDefault="007A0928" w:rsidP="007A0928">
            <w:pPr>
              <w:ind w:left="164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  <w:r w:rsidRPr="00BC20B0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La vendita su aree pubbliche di oggetti in metalli preziosi antichi o usati resta vietata.</w:t>
            </w:r>
          </w:p>
          <w:p w14:paraId="45C023DC" w14:textId="77777777" w:rsidR="007A0928" w:rsidRPr="00875459" w:rsidRDefault="007A0928" w:rsidP="006409C2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C10000"/>
                <w:u w:val="none"/>
              </w:rPr>
            </w:pPr>
          </w:p>
          <w:p w14:paraId="772C9A24" w14:textId="77777777" w:rsidR="007A0928" w:rsidRPr="00875459" w:rsidRDefault="006409C2" w:rsidP="007A0928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C10000"/>
                <w:u w:val="none"/>
              </w:rPr>
            </w:pPr>
            <w:r w:rsidRPr="00875459">
              <w:rPr>
                <w:b/>
                <w:bCs/>
                <w:color w:val="C10000"/>
                <w:u w:val="none"/>
              </w:rPr>
              <w:t>Vendita oggetti a valore storico o artistico</w:t>
            </w:r>
            <w:r w:rsidRPr="00875459">
              <w:rPr>
                <w:rFonts w:ascii="Arial,Bold" w:hAnsi="Arial,Bold" w:cs="Arial,Bold"/>
                <w:b/>
                <w:bCs/>
                <w:color w:val="C10000"/>
                <w:u w:val="none"/>
              </w:rPr>
              <w:t xml:space="preserve"> </w:t>
            </w:r>
          </w:p>
          <w:p w14:paraId="05225483" w14:textId="77777777" w:rsidR="006409C2" w:rsidRPr="006409C2" w:rsidRDefault="006409C2" w:rsidP="006409C2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409C2">
              <w:rPr>
                <w:color w:val="000000"/>
                <w:sz w:val="20"/>
                <w:szCs w:val="20"/>
                <w:u w:val="none"/>
              </w:rPr>
              <w:t>Oggetti con valore storico o artistico (cioè con oltre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409C2">
              <w:rPr>
                <w:color w:val="000000"/>
                <w:sz w:val="20"/>
                <w:szCs w:val="20"/>
                <w:u w:val="none"/>
              </w:rPr>
              <w:t xml:space="preserve">70 anni), autovetture d’epoca (cioè con oltre 75 anni), elencati </w:t>
            </w:r>
            <w:r w:rsidRPr="006409C2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nell’allegato A) </w:t>
            </w:r>
            <w:r w:rsidRPr="006409C2">
              <w:rPr>
                <w:color w:val="000000"/>
                <w:sz w:val="20"/>
                <w:szCs w:val="20"/>
                <w:u w:val="none"/>
              </w:rPr>
              <w:t xml:space="preserve">del </w:t>
            </w:r>
            <w:hyperlink r:id="rId6" w:history="1">
              <w:proofErr w:type="spellStart"/>
              <w:r w:rsidRPr="006409C2">
                <w:rPr>
                  <w:rStyle w:val="Collegamentoipertestuale"/>
                  <w:b/>
                  <w:sz w:val="20"/>
                  <w:szCs w:val="20"/>
                </w:rPr>
                <w:t>DLgs</w:t>
              </w:r>
              <w:proofErr w:type="spellEnd"/>
              <w:r w:rsidRPr="006409C2">
                <w:rPr>
                  <w:rStyle w:val="Collegamentoipertestuale"/>
                  <w:b/>
                  <w:sz w:val="20"/>
                  <w:szCs w:val="20"/>
                </w:rPr>
                <w:t xml:space="preserve"> 22/01/2004, n. 42</w:t>
              </w:r>
            </w:hyperlink>
            <w:r w:rsidRPr="006409C2">
              <w:rPr>
                <w:color w:val="000000"/>
                <w:sz w:val="20"/>
                <w:szCs w:val="20"/>
                <w:u w:val="none"/>
              </w:rPr>
              <w:t>,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409C2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restano soggetti alla dichiarazione preventiva </w:t>
            </w:r>
            <w:r w:rsidRPr="006409C2">
              <w:rPr>
                <w:color w:val="000000"/>
                <w:sz w:val="20"/>
                <w:szCs w:val="20"/>
                <w:u w:val="none"/>
              </w:rPr>
              <w:t xml:space="preserve">e registrazione ai sensi del </w:t>
            </w:r>
            <w:r w:rsidRPr="006409C2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Capo IV, sezione III</w:t>
            </w:r>
            <w:r w:rsidRPr="006409C2"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  <w:u w:val="none"/>
              </w:rPr>
              <w:t xml:space="preserve">, </w:t>
            </w:r>
            <w:r w:rsidRPr="006409C2">
              <w:rPr>
                <w:color w:val="000000"/>
                <w:sz w:val="20"/>
                <w:szCs w:val="20"/>
                <w:u w:val="none"/>
              </w:rPr>
              <w:t>dello stesso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409C2">
              <w:rPr>
                <w:color w:val="000000"/>
                <w:sz w:val="20"/>
                <w:szCs w:val="20"/>
                <w:u w:val="none"/>
              </w:rPr>
              <w:t>Decreto.</w:t>
            </w:r>
          </w:p>
          <w:p w14:paraId="1110DBC4" w14:textId="0D8C9D0E" w:rsidR="007A0928" w:rsidRPr="00BC20B0" w:rsidRDefault="007A0928" w:rsidP="007A0928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BC20B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La dichiarazione preventiva va inoltrata all’autorità locale di Pubblica Sicurezza (Sindaco) mediante PEC e utilizzando il </w:t>
            </w:r>
            <w:hyperlink r:id="rId7" w:history="1">
              <w:r w:rsidRPr="00BC20B0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modulo predis</w:t>
              </w:r>
              <w:r w:rsidRPr="00BC20B0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p</w:t>
              </w:r>
              <w:r w:rsidRPr="00BC20B0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osto.</w:t>
              </w:r>
            </w:hyperlink>
            <w:r w:rsidRPr="00BC20B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BC20B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L’attività può essere esercitata ad avvenuta ricevuta della dichiarazione da parte del SUAP.</w:t>
            </w:r>
          </w:p>
          <w:p w14:paraId="4ECBAE31" w14:textId="77777777" w:rsidR="007A0928" w:rsidRDefault="007A0928" w:rsidP="007A0928">
            <w:pPr>
              <w:ind w:left="164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  <w:r w:rsidRPr="00BC20B0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La vendita di oggetti antichi a valore storico o artistico è permessa solo in occasione di Mostre mercato o Fiere dell’antiquariato.</w:t>
            </w:r>
          </w:p>
          <w:p w14:paraId="76E66C48" w14:textId="77777777" w:rsidR="006409C2" w:rsidRPr="00875459" w:rsidRDefault="006409C2" w:rsidP="006409C2">
            <w:pPr>
              <w:pStyle w:val="Paragrafoelenco"/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00D5083C" w14:textId="77777777" w:rsidR="006409C2" w:rsidRPr="00875459" w:rsidRDefault="004C4346" w:rsidP="006409C2">
            <w:pPr>
              <w:pStyle w:val="Paragrafoelenco"/>
              <w:spacing w:after="120"/>
              <w:ind w:left="164"/>
              <w:rPr>
                <w:b/>
                <w:color w:val="C00000"/>
                <w:u w:val="none"/>
              </w:rPr>
            </w:pPr>
            <w:hyperlink r:id="rId8" w:history="1">
              <w:r w:rsidR="006409C2" w:rsidRPr="00875459">
                <w:rPr>
                  <w:rStyle w:val="Collegamentoipertestuale"/>
                  <w:b/>
                  <w:color w:val="C00000"/>
                  <w:u w:val="none"/>
                </w:rPr>
                <w:t>Modalità d’esercizio</w:t>
              </w:r>
            </w:hyperlink>
          </w:p>
          <w:p w14:paraId="07A9A5DD" w14:textId="77777777" w:rsidR="006409C2" w:rsidRPr="0096773C" w:rsidRDefault="006409C2" w:rsidP="006409C2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96773C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Per la vendita di merci antiche o usate, nel rispetto delle norme di carattere igienico-sanitario e della tutela del consumatore, gli operatori devono esporre apposito cartello ben visibile al pubblico recante l’indicazione di prodotto usato o antico. </w:t>
            </w:r>
          </w:p>
          <w:p w14:paraId="124CCE61" w14:textId="77777777" w:rsidR="006409C2" w:rsidRPr="0096773C" w:rsidRDefault="006409C2" w:rsidP="006409C2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96773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la vendita di oggetti usati che possano essere riutilizzati come indumenti od oggetti correlati alla preparazione e consumo di alimenti, la loro vendita deve essere accompagnata da una certificazione attestante la loro igienizzazione.</w:t>
            </w:r>
          </w:p>
          <w:p w14:paraId="27961BF8" w14:textId="77777777" w:rsidR="006409C2" w:rsidRPr="0096773C" w:rsidRDefault="006409C2" w:rsidP="006409C2">
            <w:pPr>
              <w:ind w:left="164" w:right="312"/>
              <w:jc w:val="both"/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96773C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I prodotti esposti per la vendita devono, inoltre, indicare, in modo chiaro e ben leggibile, il prezzo di vendita al pubblico.</w:t>
            </w:r>
          </w:p>
          <w:p w14:paraId="44BBC82E" w14:textId="77777777" w:rsidR="006409C2" w:rsidRPr="00875459" w:rsidRDefault="006409C2" w:rsidP="006409C2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434662A0" w14:textId="0E43BDBE" w:rsidR="00B564EA" w:rsidRPr="00945B26" w:rsidRDefault="004C4346" w:rsidP="00B564EA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9" w:history="1">
              <w:r w:rsidR="002A6285" w:rsidRPr="0087545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45B26" w:rsidRPr="00875459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1512A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0" w:history="1">
              <w:r w:rsidR="005F3669">
                <w:rPr>
                  <w:rStyle w:val="Collegamentoipertestuale"/>
                  <w:b/>
                  <w:sz w:val="20"/>
                  <w:szCs w:val="20"/>
                </w:rPr>
                <w:t>TUR p</w:t>
              </w:r>
              <w:r w:rsidR="005F3669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="005F3669">
                <w:rPr>
                  <w:rStyle w:val="Collegamentoipertestuale"/>
                  <w:b/>
                  <w:sz w:val="20"/>
                  <w:szCs w:val="20"/>
                </w:rPr>
                <w:t>rte 3^</w:t>
              </w:r>
            </w:hyperlink>
            <w:r w:rsidR="005F3669">
              <w:rPr>
                <w:color w:val="0000FF"/>
                <w:sz w:val="20"/>
                <w:szCs w:val="20"/>
              </w:rPr>
              <w:t xml:space="preserve"> </w:t>
            </w:r>
            <w:r w:rsidR="00B564EA" w:rsidRPr="00945B26">
              <w:rPr>
                <w:color w:val="auto"/>
                <w:sz w:val="20"/>
                <w:szCs w:val="20"/>
                <w:u w:val="none"/>
              </w:rPr>
              <w:t xml:space="preserve">- Commercio </w:t>
            </w:r>
            <w:r w:rsidR="00B564EA">
              <w:rPr>
                <w:color w:val="auto"/>
                <w:sz w:val="20"/>
                <w:szCs w:val="20"/>
                <w:u w:val="none"/>
              </w:rPr>
              <w:t>su aree pubbliche</w:t>
            </w:r>
            <w:r w:rsidR="00B564EA" w:rsidRPr="00945B26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32E04241" w14:textId="70B95C69" w:rsidR="00276654" w:rsidRPr="00875459" w:rsidRDefault="00276654" w:rsidP="003A4A32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605A8D41" w14:textId="77777777" w:rsidR="00276654" w:rsidRPr="00875459" w:rsidRDefault="0041512A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u w:val="none"/>
              </w:rPr>
            </w:pPr>
            <w:r w:rsidRPr="00875459">
              <w:rPr>
                <w:b/>
                <w:color w:val="C00000"/>
                <w:u w:val="none"/>
              </w:rPr>
              <w:t>Note</w:t>
            </w:r>
            <w:r w:rsidR="00945B26" w:rsidRPr="00875459">
              <w:rPr>
                <w:b/>
                <w:color w:val="C00000"/>
                <w:u w:val="none"/>
              </w:rPr>
              <w:t>:</w:t>
            </w:r>
            <w:r w:rsidR="00945B26" w:rsidRPr="00875459">
              <w:rPr>
                <w:color w:val="C00000"/>
              </w:rPr>
              <w:t xml:space="preserve"> </w:t>
            </w:r>
          </w:p>
        </w:tc>
      </w:tr>
    </w:tbl>
    <w:p w14:paraId="04783B14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8278D"/>
    <w:rsid w:val="000E4B7E"/>
    <w:rsid w:val="00112873"/>
    <w:rsid w:val="00117F1E"/>
    <w:rsid w:val="001743EE"/>
    <w:rsid w:val="002210DE"/>
    <w:rsid w:val="0023487B"/>
    <w:rsid w:val="00276654"/>
    <w:rsid w:val="002A5D7C"/>
    <w:rsid w:val="002A6285"/>
    <w:rsid w:val="002B375D"/>
    <w:rsid w:val="00342D58"/>
    <w:rsid w:val="00344A76"/>
    <w:rsid w:val="003A4A32"/>
    <w:rsid w:val="003C5FBA"/>
    <w:rsid w:val="0041512A"/>
    <w:rsid w:val="004257E1"/>
    <w:rsid w:val="0044342C"/>
    <w:rsid w:val="0045341A"/>
    <w:rsid w:val="004704B5"/>
    <w:rsid w:val="00493BD0"/>
    <w:rsid w:val="004C4346"/>
    <w:rsid w:val="004F3CF0"/>
    <w:rsid w:val="004F59C5"/>
    <w:rsid w:val="00506E58"/>
    <w:rsid w:val="005930C1"/>
    <w:rsid w:val="005C68B2"/>
    <w:rsid w:val="005C720B"/>
    <w:rsid w:val="005F3669"/>
    <w:rsid w:val="00621A5C"/>
    <w:rsid w:val="006409C2"/>
    <w:rsid w:val="00651378"/>
    <w:rsid w:val="00692827"/>
    <w:rsid w:val="006B29D2"/>
    <w:rsid w:val="006B3A13"/>
    <w:rsid w:val="006C7151"/>
    <w:rsid w:val="00737DA2"/>
    <w:rsid w:val="00746376"/>
    <w:rsid w:val="007A0928"/>
    <w:rsid w:val="008232B5"/>
    <w:rsid w:val="0082478D"/>
    <w:rsid w:val="00875459"/>
    <w:rsid w:val="00897F79"/>
    <w:rsid w:val="00945B26"/>
    <w:rsid w:val="0095425B"/>
    <w:rsid w:val="009A4645"/>
    <w:rsid w:val="00A06B50"/>
    <w:rsid w:val="00B0731C"/>
    <w:rsid w:val="00B564EA"/>
    <w:rsid w:val="00B66F7C"/>
    <w:rsid w:val="00B706D3"/>
    <w:rsid w:val="00BF42AE"/>
    <w:rsid w:val="00C05465"/>
    <w:rsid w:val="00C75D34"/>
    <w:rsid w:val="00CD592E"/>
    <w:rsid w:val="00D16B5E"/>
    <w:rsid w:val="00D36066"/>
    <w:rsid w:val="00D57F18"/>
    <w:rsid w:val="00DA1D31"/>
    <w:rsid w:val="00DC5DC3"/>
    <w:rsid w:val="00DF0435"/>
    <w:rsid w:val="00E25843"/>
    <w:rsid w:val="00E660BB"/>
    <w:rsid w:val="00EE371A"/>
    <w:rsid w:val="00F312D0"/>
    <w:rsid w:val="00F33A15"/>
    <w:rsid w:val="00F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9DBE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.STEFANO%20TICINO\5%20Procedimenti\2%20Settore%20Commercio%20fisso\Modalit&#224;%20vendita%20armi.pdf" TargetMode="External"/><Relationship Id="rId3" Type="http://schemas.openxmlformats.org/officeDocument/2006/relationships/settings" Target="settings.xml"/><Relationship Id="rId7" Type="http://schemas.openxmlformats.org/officeDocument/2006/relationships/hyperlink" Target="Modulistica/1AP%20Dichiarazione%20di%20cose%20storiche%20o%20artistich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2004_004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Walter\Comuni\Valgreghentino\Progetto%20PUC\CONTATTI\CONTATTI_LC.docx" TargetMode="External"/><Relationship Id="rId10" Type="http://schemas.openxmlformats.org/officeDocument/2006/relationships/hyperlink" Target="file:///C:\Walter\sportello%20unico\Progetto%20PUC\TUR\Parte%203%5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S.STEFANO%20TICINO\5%20Procedimenti\Definizioni\Riferimenti%20normativi%20e%20di%20controllo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23</cp:revision>
  <dcterms:created xsi:type="dcterms:W3CDTF">2018-07-20T20:15:00Z</dcterms:created>
  <dcterms:modified xsi:type="dcterms:W3CDTF">2021-04-26T09:35:00Z</dcterms:modified>
</cp:coreProperties>
</file>